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B17D" w14:textId="77777777" w:rsidR="00E213E9" w:rsidRPr="0037362C" w:rsidRDefault="00E213E9" w:rsidP="00E213E9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5266CA6" wp14:editId="1E22FA0B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8" name="Obrázok 8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4B2FE10D" w14:textId="77777777" w:rsidR="00E213E9" w:rsidRDefault="00E213E9" w:rsidP="00E213E9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06D984F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1CFD2D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CD9A39A" w14:textId="0D29E4FF" w:rsidR="00E213E9" w:rsidRPr="0037362C" w:rsidRDefault="00E213E9" w:rsidP="00E213E9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Pr="00E213E9">
        <w:rPr>
          <w:rFonts w:eastAsia="Calibri" w:cs="Times New Roman"/>
          <w:sz w:val="40"/>
          <w:szCs w:val="40"/>
          <w:lang w:eastAsia="en-US"/>
        </w:rPr>
        <w:t>2024004</w:t>
      </w:r>
      <w:r w:rsidR="000E73CA">
        <w:rPr>
          <w:rFonts w:eastAsia="Calibri" w:cs="Times New Roman"/>
          <w:sz w:val="40"/>
          <w:szCs w:val="40"/>
          <w:lang w:eastAsia="en-US"/>
        </w:rPr>
        <w:t>6</w:t>
      </w:r>
    </w:p>
    <w:p w14:paraId="44664F0B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3F33BD4" w14:textId="41233949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Ing. Jaroslav Holota</w:t>
      </w:r>
    </w:p>
    <w:p w14:paraId="454AFDE5" w14:textId="735981B0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>Dátum: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18.09.2024</w:t>
      </w:r>
    </w:p>
    <w:p w14:paraId="68FB17C6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CC021E" w14:textId="35E1F64E" w:rsidR="00E213E9" w:rsidRPr="0037362C" w:rsidRDefault="00E213E9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V súlade s § 14 ods. 2 písm.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c)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zákona č. 583/2004 Z. z. o rozpočtových pravidlách územnej samosprávy a o zmene a doplnení niektorých zákonov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v znení neskorších predpisov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predkladám </w:t>
      </w:r>
      <w:r>
        <w:rPr>
          <w:rFonts w:eastAsia="Calibri" w:cs="Times New Roman"/>
          <w:b w:val="0"/>
          <w:sz w:val="22"/>
          <w:szCs w:val="22"/>
          <w:lang w:eastAsia="en-US"/>
        </w:rPr>
        <w:t>primátorovi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mesta  návrh na rozpočtové opatrenie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–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povolené prekročenie a viazanie </w:t>
      </w:r>
      <w:r w:rsidR="000E73CA">
        <w:rPr>
          <w:rFonts w:eastAsia="Calibri" w:cs="Times New Roman"/>
          <w:b w:val="0"/>
          <w:sz w:val="22"/>
          <w:szCs w:val="22"/>
          <w:lang w:eastAsia="en-US"/>
        </w:rPr>
        <w:t>výdavkov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, a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 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to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534F70" w:rsidRPr="00534F70">
        <w:rPr>
          <w:rFonts w:eastAsia="Calibri" w:cs="Times New Roman"/>
          <w:bCs/>
          <w:i/>
          <w:iCs/>
          <w:sz w:val="22"/>
          <w:szCs w:val="22"/>
          <w:u w:val="single"/>
          <w:lang w:eastAsia="en-US"/>
        </w:rPr>
        <w:t>znížením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nasledovných položiek </w:t>
      </w:r>
      <w:r w:rsidR="000E73CA">
        <w:rPr>
          <w:rFonts w:eastAsia="Calibri" w:cs="Times New Roman"/>
          <w:b w:val="0"/>
          <w:sz w:val="22"/>
          <w:szCs w:val="22"/>
          <w:lang w:eastAsia="en-US"/>
        </w:rPr>
        <w:t>výdavkovej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časti rozpočtu:</w:t>
      </w:r>
    </w:p>
    <w:p w14:paraId="752FFEE3" w14:textId="250F41AA" w:rsidR="008A793A" w:rsidRPr="002D6D1F" w:rsidRDefault="008A793A" w:rsidP="00534F70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8A793A">
        <w:rPr>
          <w:rFonts w:eastAsia="Calibri" w:cs="Times New Roman"/>
          <w:bCs/>
          <w:sz w:val="22"/>
          <w:szCs w:val="22"/>
          <w:u w:val="single"/>
          <w:lang w:eastAsia="en-US"/>
        </w:rPr>
        <w:t>BEŽNÝ ROZPOČET</w:t>
      </w:r>
    </w:p>
    <w:p w14:paraId="4E105168" w14:textId="77777777" w:rsidR="00534F70" w:rsidRDefault="00534F70" w:rsidP="002D6D1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Program č. 1: Manažment mesta</w:t>
      </w:r>
    </w:p>
    <w:p w14:paraId="23785056" w14:textId="754B18DE" w:rsidR="008A793A" w:rsidRPr="008A793A" w:rsidRDefault="00534F70" w:rsidP="003603B7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Prvok č. 1.1.1.: </w:t>
      </w:r>
      <w:r w:rsidRPr="00534F70">
        <w:rPr>
          <w:rFonts w:eastAsia="Calibri" w:cs="Times New Roman"/>
          <w:bCs/>
          <w:sz w:val="22"/>
          <w:szCs w:val="22"/>
          <w:lang w:eastAsia="en-US"/>
        </w:rPr>
        <w:t>Výkon funkcie primátora, zástup</w:t>
      </w:r>
      <w:r>
        <w:rPr>
          <w:rFonts w:eastAsia="Calibri" w:cs="Times New Roman"/>
          <w:bCs/>
          <w:sz w:val="22"/>
          <w:szCs w:val="22"/>
          <w:lang w:eastAsia="en-US"/>
        </w:rPr>
        <w:t>cu</w:t>
      </w:r>
      <w:r w:rsidRPr="00534F70">
        <w:rPr>
          <w:rFonts w:eastAsia="Calibri" w:cs="Times New Roman"/>
          <w:bCs/>
          <w:sz w:val="22"/>
          <w:szCs w:val="22"/>
          <w:lang w:eastAsia="en-US"/>
        </w:rPr>
        <w:t xml:space="preserve"> primátora a </w:t>
      </w:r>
      <w:r>
        <w:rPr>
          <w:rFonts w:eastAsia="Calibri" w:cs="Times New Roman"/>
          <w:bCs/>
          <w:sz w:val="22"/>
          <w:szCs w:val="22"/>
          <w:lang w:eastAsia="en-US"/>
        </w:rPr>
        <w:t>HK</w:t>
      </w:r>
      <w:r w:rsidR="00E213E9"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4479DDB0" w14:textId="2F49E655" w:rsidR="00E213E9" w:rsidRDefault="00E213E9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 w:rsidR="00534F70">
        <w:rPr>
          <w:rFonts w:eastAsia="Calibri" w:cs="Times New Roman"/>
          <w:b w:val="0"/>
          <w:sz w:val="22"/>
          <w:szCs w:val="22"/>
          <w:lang w:eastAsia="en-US"/>
        </w:rPr>
        <w:t>6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11 </w:t>
      </w:r>
      <w:r w:rsidR="00534F70">
        <w:rPr>
          <w:rFonts w:eastAsia="Calibri" w:cs="Times New Roman"/>
          <w:b w:val="0"/>
          <w:sz w:val="22"/>
          <w:szCs w:val="22"/>
          <w:lang w:eastAsia="en-US"/>
        </w:rPr>
        <w:t>mzdy, platy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534F70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>-</w:t>
      </w:r>
      <w:r w:rsidR="00534F70">
        <w:rPr>
          <w:rFonts w:eastAsia="Calibri" w:cs="Times New Roman"/>
          <w:b w:val="0"/>
          <w:sz w:val="22"/>
          <w:szCs w:val="22"/>
          <w:lang w:eastAsia="en-US"/>
        </w:rPr>
        <w:t>9.550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06219FD6" w14:textId="51994A53" w:rsidR="00534F70" w:rsidRDefault="00534F70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625 </w:t>
      </w:r>
      <w:r w:rsidRPr="00534F70">
        <w:rPr>
          <w:rFonts w:eastAsia="Calibri" w:cs="Times New Roman"/>
          <w:b w:val="0"/>
          <w:sz w:val="22"/>
          <w:szCs w:val="22"/>
          <w:lang w:eastAsia="en-US"/>
        </w:rPr>
        <w:t>poistné a príspevok do poisťovní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-6.567 €</w:t>
      </w:r>
    </w:p>
    <w:p w14:paraId="5F4CA0B0" w14:textId="5CCD6A73" w:rsidR="00534F70" w:rsidRDefault="00534F70" w:rsidP="00534F70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637 tvorba sociálneho fondu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                 -368 €</w:t>
      </w:r>
    </w:p>
    <w:p w14:paraId="27AE3B84" w14:textId="0524D013" w:rsidR="00534F70" w:rsidRDefault="00534F70" w:rsidP="004401CC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637 </w:t>
      </w:r>
      <w:r w:rsidRPr="00534F70">
        <w:rPr>
          <w:rFonts w:eastAsia="Calibri" w:cs="Times New Roman"/>
          <w:b w:val="0"/>
          <w:sz w:val="22"/>
          <w:szCs w:val="22"/>
          <w:lang w:eastAsia="en-US"/>
        </w:rPr>
        <w:t>finančný príspevok na stravovanie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-810 €</w:t>
      </w:r>
    </w:p>
    <w:p w14:paraId="2D520B3C" w14:textId="6C72834F" w:rsidR="00534F70" w:rsidRDefault="00534F70" w:rsidP="00534F70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Program č. </w:t>
      </w:r>
      <w:r w:rsidR="003603B7">
        <w:rPr>
          <w:rFonts w:eastAsia="Calibri" w:cs="Times New Roman"/>
          <w:bCs/>
          <w:sz w:val="22"/>
          <w:szCs w:val="22"/>
          <w:lang w:eastAsia="en-US"/>
        </w:rPr>
        <w:t>3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: </w:t>
      </w:r>
      <w:r w:rsidR="003603B7">
        <w:rPr>
          <w:rFonts w:eastAsia="Calibri" w:cs="Times New Roman"/>
          <w:bCs/>
          <w:sz w:val="22"/>
          <w:szCs w:val="22"/>
          <w:lang w:eastAsia="en-US"/>
        </w:rPr>
        <w:t>Interné služby</w:t>
      </w:r>
    </w:p>
    <w:p w14:paraId="0D01320D" w14:textId="5C197161" w:rsidR="003603B7" w:rsidRDefault="003603B7" w:rsidP="003603B7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Podprogram č. 3.1.: Budova MsU – správa, vybavenie, údržba</w:t>
      </w:r>
    </w:p>
    <w:p w14:paraId="3F85BF8F" w14:textId="2B081A59" w:rsidR="00534F70" w:rsidRPr="003603B7" w:rsidRDefault="00534F70" w:rsidP="003603B7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>P</w:t>
      </w:r>
      <w:r w:rsidR="003603B7" w:rsidRPr="003603B7">
        <w:rPr>
          <w:rFonts w:eastAsia="Calibri" w:cs="Times New Roman"/>
          <w:b w:val="0"/>
          <w:sz w:val="22"/>
          <w:szCs w:val="22"/>
          <w:lang w:eastAsia="en-US"/>
        </w:rPr>
        <w:t>oložka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: </w:t>
      </w:r>
      <w:r w:rsidR="004608A5">
        <w:rPr>
          <w:rFonts w:eastAsia="Calibri" w:cs="Times New Roman"/>
          <w:b w:val="0"/>
          <w:sz w:val="22"/>
          <w:szCs w:val="22"/>
          <w:lang w:eastAsia="en-US"/>
        </w:rPr>
        <w:t>dopravné</w:t>
      </w:r>
    </w:p>
    <w:p w14:paraId="0912A4B9" w14:textId="6C594EE2" w:rsidR="00534F70" w:rsidRDefault="00534F70" w:rsidP="004401CC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>34</w:t>
      </w:r>
      <w:r w:rsidR="004608A5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4608A5" w:rsidRPr="003603B7">
        <w:rPr>
          <w:rFonts w:eastAsia="Calibri" w:cs="Times New Roman"/>
          <w:b w:val="0"/>
          <w:sz w:val="22"/>
          <w:szCs w:val="22"/>
          <w:lang w:eastAsia="en-US"/>
        </w:rPr>
        <w:t>automobily - údržba, opravy</w:t>
      </w:r>
      <w:r w:rsidR="004608A5">
        <w:rPr>
          <w:rFonts w:eastAsia="Calibri" w:cs="Times New Roman"/>
          <w:b w:val="0"/>
          <w:sz w:val="22"/>
          <w:szCs w:val="22"/>
          <w:lang w:eastAsia="en-US"/>
        </w:rPr>
        <w:t>...</w:t>
      </w:r>
      <w:r w:rsidR="004608A5" w:rsidRPr="003603B7">
        <w:rPr>
          <w:rFonts w:eastAsia="Calibri" w:cs="Times New Roman"/>
          <w:b w:val="0"/>
          <w:sz w:val="22"/>
          <w:szCs w:val="22"/>
          <w:lang w:eastAsia="en-US"/>
        </w:rPr>
        <w:t>,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o sumu:   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-</w:t>
      </w:r>
      <w:r w:rsidR="003603B7">
        <w:rPr>
          <w:rFonts w:eastAsia="Calibri" w:cs="Times New Roman"/>
          <w:b w:val="0"/>
          <w:sz w:val="22"/>
          <w:szCs w:val="22"/>
          <w:lang w:eastAsia="en-US"/>
        </w:rPr>
        <w:t>1.000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56AB878C" w14:textId="31539C10" w:rsidR="003603B7" w:rsidRDefault="003603B7" w:rsidP="003603B7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Podprogram č. 3.4.: Majetok</w:t>
      </w:r>
    </w:p>
    <w:p w14:paraId="0D7BE938" w14:textId="76F270C7" w:rsidR="003603B7" w:rsidRPr="003603B7" w:rsidRDefault="003603B7" w:rsidP="003603B7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>
        <w:rPr>
          <w:rFonts w:eastAsia="Calibri" w:cs="Times New Roman"/>
          <w:b w:val="0"/>
          <w:sz w:val="22"/>
          <w:szCs w:val="22"/>
          <w:lang w:eastAsia="en-US"/>
        </w:rPr>
        <w:t>rutinná a štandardná úprava údržba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65AEB746" w14:textId="0E3934FA" w:rsidR="003603B7" w:rsidRDefault="003603B7" w:rsidP="003603B7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635, 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-500 €</w:t>
      </w:r>
    </w:p>
    <w:p w14:paraId="590C8B3F" w14:textId="49B5050B" w:rsidR="003603B7" w:rsidRPr="003603B7" w:rsidRDefault="003603B7" w:rsidP="003603B7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>
        <w:rPr>
          <w:rFonts w:eastAsia="Calibri" w:cs="Times New Roman"/>
          <w:b w:val="0"/>
          <w:sz w:val="22"/>
          <w:szCs w:val="22"/>
          <w:lang w:eastAsia="en-US"/>
        </w:rPr>
        <w:t>služby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5146E6CC" w14:textId="5A647ADD" w:rsidR="003603B7" w:rsidRDefault="003603B7" w:rsidP="003603B7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63</w:t>
      </w:r>
      <w:r w:rsidR="001A7084">
        <w:rPr>
          <w:rFonts w:eastAsia="Calibri" w:cs="Times New Roman"/>
          <w:b w:val="0"/>
          <w:sz w:val="22"/>
          <w:szCs w:val="22"/>
          <w:lang w:eastAsia="en-US"/>
        </w:rPr>
        <w:t>7 poistenie majetku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, 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-</w:t>
      </w:r>
      <w:r w:rsidR="001A7084">
        <w:rPr>
          <w:rFonts w:eastAsia="Calibri" w:cs="Times New Roman"/>
          <w:b w:val="0"/>
          <w:sz w:val="22"/>
          <w:szCs w:val="22"/>
          <w:lang w:eastAsia="en-US"/>
        </w:rPr>
        <w:t>3</w:t>
      </w:r>
      <w:r>
        <w:rPr>
          <w:rFonts w:eastAsia="Calibri" w:cs="Times New Roman"/>
          <w:b w:val="0"/>
          <w:sz w:val="22"/>
          <w:szCs w:val="22"/>
          <w:lang w:eastAsia="en-US"/>
        </w:rPr>
        <w:t>00 €</w:t>
      </w:r>
    </w:p>
    <w:p w14:paraId="5C303901" w14:textId="4EAFA67F" w:rsidR="001A7084" w:rsidRPr="003603B7" w:rsidRDefault="001A7084" w:rsidP="001A708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 w:rsidRPr="001A7084">
        <w:rPr>
          <w:rFonts w:eastAsia="Calibri" w:cs="Times New Roman"/>
          <w:b w:val="0"/>
          <w:sz w:val="22"/>
          <w:szCs w:val="22"/>
          <w:lang w:eastAsia="en-US"/>
        </w:rPr>
        <w:t>splácanie úrokov v tuzemsku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4107BD38" w14:textId="00854B45" w:rsidR="001A7084" w:rsidRDefault="001A7084" w:rsidP="004401CC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651 </w:t>
      </w:r>
      <w:r w:rsidRPr="001A7084">
        <w:rPr>
          <w:rFonts w:eastAsia="Calibri" w:cs="Times New Roman"/>
          <w:b w:val="0"/>
          <w:sz w:val="22"/>
          <w:szCs w:val="22"/>
          <w:lang w:eastAsia="en-US"/>
        </w:rPr>
        <w:t>Úroky - leasing osobný automobil</w:t>
      </w:r>
      <w:r>
        <w:rPr>
          <w:rFonts w:eastAsia="Calibri" w:cs="Times New Roman"/>
          <w:b w:val="0"/>
          <w:sz w:val="22"/>
          <w:szCs w:val="22"/>
          <w:lang w:eastAsia="en-US"/>
        </w:rPr>
        <w:t>,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-238 €</w:t>
      </w:r>
    </w:p>
    <w:p w14:paraId="44F841BF" w14:textId="2F8E8291" w:rsidR="001A7084" w:rsidRDefault="001A7084" w:rsidP="001A7084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Podprogram č. 3.5.: Úradné úkony</w:t>
      </w:r>
    </w:p>
    <w:p w14:paraId="02FF17BA" w14:textId="2A848201" w:rsidR="001A7084" w:rsidRPr="003603B7" w:rsidRDefault="001A7084" w:rsidP="001A708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>
        <w:rPr>
          <w:rFonts w:eastAsia="Calibri" w:cs="Times New Roman"/>
          <w:b w:val="0"/>
          <w:sz w:val="22"/>
          <w:szCs w:val="22"/>
          <w:lang w:eastAsia="en-US"/>
        </w:rPr>
        <w:t>služby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</w:p>
    <w:p w14:paraId="0F3DFE29" w14:textId="0604EB9B" w:rsidR="001A7084" w:rsidRDefault="001A7084" w:rsidP="004401CC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637 audítorské služby, 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-160 €</w:t>
      </w:r>
    </w:p>
    <w:p w14:paraId="026ED2AB" w14:textId="41C8B74F" w:rsidR="00833644" w:rsidRDefault="00833644" w:rsidP="00833644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Program č. 15: Administratíva</w:t>
      </w:r>
    </w:p>
    <w:p w14:paraId="7094A922" w14:textId="78D0B3A3" w:rsidR="00833644" w:rsidRDefault="00833644" w:rsidP="00833644">
      <w:pPr>
        <w:autoSpaceDE w:val="0"/>
        <w:autoSpaceDN w:val="0"/>
        <w:adjustRightInd w:val="0"/>
        <w:spacing w:line="276" w:lineRule="auto"/>
        <w:ind w:left="284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Podprogram č. 15.2.: Administratíva – vnútorná správa </w:t>
      </w:r>
    </w:p>
    <w:p w14:paraId="12297458" w14:textId="047FE76C" w:rsidR="00833644" w:rsidRPr="003603B7" w:rsidRDefault="00833644" w:rsidP="00833644">
      <w:pPr>
        <w:autoSpaceDE w:val="0"/>
        <w:autoSpaceDN w:val="0"/>
        <w:adjustRightInd w:val="0"/>
        <w:spacing w:line="276" w:lineRule="auto"/>
        <w:ind w:left="567"/>
        <w:rPr>
          <w:rFonts w:eastAsia="Calibri" w:cs="Times New Roman"/>
          <w:b w:val="0"/>
          <w:sz w:val="22"/>
          <w:szCs w:val="22"/>
          <w:lang w:eastAsia="en-US"/>
        </w:rPr>
      </w:pPr>
      <w:r w:rsidRPr="003603B7"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>
        <w:rPr>
          <w:rFonts w:eastAsia="Calibri" w:cs="Times New Roman"/>
          <w:b w:val="0"/>
          <w:sz w:val="22"/>
          <w:szCs w:val="22"/>
          <w:lang w:eastAsia="en-US"/>
        </w:rPr>
        <w:t>služby</w:t>
      </w:r>
    </w:p>
    <w:p w14:paraId="5B61093E" w14:textId="35A9CD6C" w:rsidR="00833644" w:rsidRDefault="00833644" w:rsidP="004401CC">
      <w:pPr>
        <w:autoSpaceDE w:val="0"/>
        <w:autoSpaceDN w:val="0"/>
        <w:adjustRightInd w:val="0"/>
        <w:spacing w:after="120" w:line="276" w:lineRule="auto"/>
        <w:ind w:firstLine="709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642 </w:t>
      </w:r>
      <w:r w:rsidRPr="00833644">
        <w:rPr>
          <w:rFonts w:eastAsia="Calibri" w:cs="Times New Roman"/>
          <w:b w:val="0"/>
          <w:sz w:val="22"/>
          <w:szCs w:val="22"/>
          <w:lang w:eastAsia="en-US"/>
        </w:rPr>
        <w:t>finančný príspevok na stravovanie</w:t>
      </w:r>
      <w:r w:rsidRPr="003603B7">
        <w:rPr>
          <w:rFonts w:eastAsia="Calibri" w:cs="Times New Roman"/>
          <w:b w:val="0"/>
          <w:sz w:val="22"/>
          <w:szCs w:val="22"/>
          <w:lang w:eastAsia="en-US"/>
        </w:rPr>
        <w:t>,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-3.000 €</w:t>
      </w:r>
    </w:p>
    <w:p w14:paraId="123A89E6" w14:textId="50038A3F" w:rsidR="00E213E9" w:rsidRPr="002D6D1F" w:rsidRDefault="00E213E9" w:rsidP="004401CC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v celkovej sume 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 xml:space="preserve">         </w:t>
      </w:r>
      <w:r w:rsidR="004401CC"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  <w:r w:rsidR="004401CC">
        <w:rPr>
          <w:rFonts w:eastAsia="Calibri" w:cs="Times New Roman"/>
          <w:bCs/>
          <w:sz w:val="22"/>
          <w:szCs w:val="22"/>
          <w:lang w:eastAsia="en-US"/>
        </w:rPr>
        <w:t xml:space="preserve">   </w:t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>-</w:t>
      </w:r>
      <w:r w:rsidR="004401CC">
        <w:rPr>
          <w:rFonts w:eastAsia="Calibri" w:cs="Times New Roman"/>
          <w:bCs/>
          <w:sz w:val="22"/>
          <w:szCs w:val="22"/>
          <w:lang w:eastAsia="en-US"/>
        </w:rPr>
        <w:t>22.493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</w:p>
    <w:p w14:paraId="34C333AD" w14:textId="77777777" w:rsidR="00547B5E" w:rsidRPr="0037362C" w:rsidRDefault="00547B5E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C8F1AD" w14:textId="77777777" w:rsidR="00E213E9" w:rsidRDefault="00E213E9" w:rsidP="00E213E9">
      <w:pPr>
        <w:autoSpaceDE w:val="0"/>
        <w:autoSpaceDN w:val="0"/>
        <w:adjustRightInd w:val="0"/>
        <w:spacing w:after="200"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lastRenderedPageBreak/>
        <w:t>Dôvodová správa:</w:t>
      </w:r>
    </w:p>
    <w:p w14:paraId="785B26D4" w14:textId="35DD9110" w:rsidR="002D6D1F" w:rsidRDefault="002D6D1F" w:rsidP="006C73B5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Úprava položiek </w:t>
      </w:r>
      <w:r w:rsidR="003770D7">
        <w:rPr>
          <w:rFonts w:eastAsia="Calibri" w:cs="Times New Roman"/>
          <w:b w:val="0"/>
          <w:bCs/>
          <w:iCs/>
          <w:sz w:val="22"/>
          <w:szCs w:val="22"/>
          <w:lang w:eastAsia="en-US"/>
        </w:rPr>
        <w:t>výdavkovej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časti rozpočtu vychádza z údajov monitorovacej správy plnenia rozpočtu k 30.06.2024. </w:t>
      </w:r>
    </w:p>
    <w:p w14:paraId="4F4D74C5" w14:textId="77777777" w:rsidR="000979E0" w:rsidRPr="002D6D1F" w:rsidRDefault="000979E0" w:rsidP="006C73B5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39EC71BC" w14:textId="77777777" w:rsidR="00E213E9" w:rsidRDefault="00E213E9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5F86E991" w14:textId="09299E02" w:rsidR="00DE59E8" w:rsidRPr="00DE59E8" w:rsidRDefault="00DE59E8" w:rsidP="00DE59E8">
      <w:pPr>
        <w:spacing w:before="120" w:after="120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 w:rsidRP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Toto rozpočtové opatrenie 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ponižuje </w:t>
      </w:r>
      <w:r w:rsidR="000979E0">
        <w:rPr>
          <w:rFonts w:eastAsia="Calibri" w:cs="Times New Roman"/>
          <w:iCs/>
          <w:sz w:val="22"/>
          <w:szCs w:val="22"/>
          <w:u w:val="single"/>
          <w:lang w:eastAsia="en-US"/>
        </w:rPr>
        <w:t>výdavkovú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 časť rozpočtu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celkovo 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>o sumu</w:t>
      </w:r>
      <w:r w:rsidRPr="000979E0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 </w:t>
      </w:r>
      <w:r w:rsidR="000979E0" w:rsidRPr="000979E0">
        <w:rPr>
          <w:rFonts w:eastAsia="Calibri" w:cs="Times New Roman"/>
          <w:iCs/>
          <w:sz w:val="22"/>
          <w:szCs w:val="22"/>
          <w:u w:val="single"/>
          <w:lang w:eastAsia="en-US"/>
        </w:rPr>
        <w:t>22.493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 €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a z tohto dôvodu </w:t>
      </w:r>
      <w:r w:rsidR="000979E0" w:rsidRPr="000979E0">
        <w:rPr>
          <w:rFonts w:eastAsia="Calibri" w:cs="Times New Roman"/>
          <w:iCs/>
          <w:sz w:val="22"/>
          <w:szCs w:val="22"/>
          <w:u w:val="single"/>
          <w:lang w:eastAsia="en-US"/>
        </w:rPr>
        <w:t>zvyšuje</w:t>
      </w:r>
      <w:r w:rsidRPr="000979E0">
        <w:rPr>
          <w:rFonts w:eastAsia="Calibri" w:cs="Times New Roman"/>
          <w:iCs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celkové rozpočtové hospodárenie.</w:t>
      </w:r>
    </w:p>
    <w:p w14:paraId="73082AD9" w14:textId="77777777" w:rsidR="00DE59E8" w:rsidRPr="00DE59E8" w:rsidRDefault="00DE59E8" w:rsidP="00E213E9">
      <w:pPr>
        <w:spacing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681FD447" w14:textId="77777777" w:rsidR="00DE59E8" w:rsidRDefault="00DE59E8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</w:p>
    <w:p w14:paraId="3ED404C0" w14:textId="77777777" w:rsidR="00E213E9" w:rsidRPr="00A738CC" w:rsidRDefault="00E213E9" w:rsidP="00E213E9">
      <w:pPr>
        <w:spacing w:line="276" w:lineRule="auto"/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213E9" w:rsidRPr="006F2351" w14:paraId="04697C6E" w14:textId="77777777" w:rsidTr="005A3C53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1037" w14:textId="213E433B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 Holota</w:t>
            </w:r>
          </w:p>
          <w:p w14:paraId="7DC5FF58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potrebné vymáhať poskytnuté plnenie, ak sa finančná operácia alebo jej časť už vykonala</w:t>
            </w:r>
          </w:p>
          <w:p w14:paraId="2FE1CC5B" w14:textId="4308D66A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Podpis zodpovedného zamestnanca: .......................................................... dátum:     </w:t>
            </w:r>
            <w:r w:rsidR="002652E9">
              <w:rPr>
                <w:rFonts w:cs="Times New Roman"/>
                <w:b w:val="0"/>
                <w:sz w:val="22"/>
                <w:szCs w:val="22"/>
              </w:rPr>
              <w:t>18.09.2024</w:t>
            </w:r>
          </w:p>
        </w:tc>
      </w:tr>
      <w:tr w:rsidR="00E213E9" w:rsidRPr="006F2351" w14:paraId="000EFC42" w14:textId="77777777" w:rsidTr="005A3C53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325E" w14:textId="71CEA9C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Jaroslava Antalová</w:t>
            </w:r>
          </w:p>
          <w:p w14:paraId="23B43903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potrebné vymáhať poskytnuté plnenie, ak sa finančná operácia alebo jej časť už vykonala</w:t>
            </w:r>
          </w:p>
          <w:p w14:paraId="53FBDB0A" w14:textId="7AB72FEB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................................................................... dátum: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18.09.2024</w:t>
            </w:r>
          </w:p>
        </w:tc>
      </w:tr>
    </w:tbl>
    <w:p w14:paraId="59F0197C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  <w:r w:rsidRPr="006F2351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6B0E9C03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</w:p>
    <w:p w14:paraId="2A841122" w14:textId="77777777" w:rsidR="00E213E9" w:rsidRPr="006F2351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  <w:lang w:eastAsia="cs-CZ"/>
        </w:rPr>
      </w:pPr>
    </w:p>
    <w:p w14:paraId="27920A83" w14:textId="77777777" w:rsidR="00E213E9" w:rsidRPr="00D22748" w:rsidRDefault="00E213E9" w:rsidP="00E213E9">
      <w:pPr>
        <w:autoSpaceDE w:val="0"/>
        <w:autoSpaceDN w:val="0"/>
        <w:adjustRightInd w:val="0"/>
        <w:spacing w:before="120" w:after="120"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>
        <w:rPr>
          <w:rFonts w:eastAsia="Calibri"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28AA102B" w14:textId="77777777" w:rsidR="00E213E9" w:rsidRDefault="00E213E9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V súlade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s § 2 ods. 1)  písm. o)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>Stará Turá p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rimátor mesta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PharmDr. Leopold Barszcz     </w:t>
      </w: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</w:p>
    <w:p w14:paraId="2DB07794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84D7D22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F3B0D87" w14:textId="77777777" w:rsidR="00E213E9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782A798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A644ADC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3361B2C3" w14:textId="77777777" w:rsidR="00EB368C" w:rsidRDefault="00EB368C"/>
    <w:sectPr w:rsidR="00EB3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E9"/>
    <w:rsid w:val="000979E0"/>
    <w:rsid w:val="000B4427"/>
    <w:rsid w:val="000E73CA"/>
    <w:rsid w:val="001806B9"/>
    <w:rsid w:val="001A49D1"/>
    <w:rsid w:val="001A7084"/>
    <w:rsid w:val="002652E9"/>
    <w:rsid w:val="002D6D1F"/>
    <w:rsid w:val="003603B7"/>
    <w:rsid w:val="003770D7"/>
    <w:rsid w:val="004401CC"/>
    <w:rsid w:val="0044367C"/>
    <w:rsid w:val="004608A5"/>
    <w:rsid w:val="00534F70"/>
    <w:rsid w:val="00547B5E"/>
    <w:rsid w:val="006C73B5"/>
    <w:rsid w:val="00723897"/>
    <w:rsid w:val="0078796B"/>
    <w:rsid w:val="00833644"/>
    <w:rsid w:val="008A793A"/>
    <w:rsid w:val="00972E60"/>
    <w:rsid w:val="00A82DF5"/>
    <w:rsid w:val="00AA6275"/>
    <w:rsid w:val="00DE59E8"/>
    <w:rsid w:val="00E213E9"/>
    <w:rsid w:val="00E55B2A"/>
    <w:rsid w:val="00EB368C"/>
    <w:rsid w:val="00F30A45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6AF7"/>
  <w15:chartTrackingRefBased/>
  <w15:docId w15:val="{766454A8-8A2C-4E8C-A777-5DF60AA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13E9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4780AA-03F1-4F03-B7E4-4213D931700F}"/>
</file>

<file path=customXml/itemProps2.xml><?xml version="1.0" encoding="utf-8"?>
<ds:datastoreItem xmlns:ds="http://schemas.openxmlformats.org/officeDocument/2006/customXml" ds:itemID="{BFE2DAAC-671F-4AF1-929A-5FBD98B208A4}"/>
</file>

<file path=customXml/itemProps3.xml><?xml version="1.0" encoding="utf-8"?>
<ds:datastoreItem xmlns:ds="http://schemas.openxmlformats.org/officeDocument/2006/customXml" ds:itemID="{51852BAE-57D3-4ABD-95DD-D805D8ED85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9</cp:revision>
  <cp:lastPrinted>2024-09-20T09:34:00Z</cp:lastPrinted>
  <dcterms:created xsi:type="dcterms:W3CDTF">2024-09-19T13:18:00Z</dcterms:created>
  <dcterms:modified xsi:type="dcterms:W3CDTF">2024-09-20T09:39:00Z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